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3" w:firstLineChars="200"/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  <w:lang w:val="en-US" w:eastAsia="zh-CN"/>
        </w:rPr>
        <w:t>2021年二季度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  <w:lang w:eastAsia="zh-CN"/>
        </w:rPr>
        <w:t>）</w:t>
      </w:r>
    </w:p>
    <w:p>
      <w:pPr>
        <w:spacing w:line="120" w:lineRule="exact"/>
        <w:ind w:firstLine="723" w:firstLineChars="200"/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</w:rPr>
      </w:pPr>
    </w:p>
    <w:tbl>
      <w:tblPr>
        <w:tblStyle w:val="4"/>
        <w:tblW w:w="14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558"/>
        <w:gridCol w:w="2127"/>
        <w:gridCol w:w="1975"/>
        <w:gridCol w:w="1602"/>
        <w:gridCol w:w="2400"/>
        <w:gridCol w:w="1556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产生危险废物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危险废物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实际产生量（吨）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实际利用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处置量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累计贮存量（吨）</w:t>
            </w:r>
          </w:p>
        </w:tc>
        <w:tc>
          <w:tcPr>
            <w:tcW w:w="183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存在危险废物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相关问题及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淮安洪阳化工有限公司</w:t>
            </w:r>
          </w:p>
        </w:tc>
        <w:tc>
          <w:tcPr>
            <w:tcW w:w="155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苯甲酰氯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二苯甲酮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 xml:space="preserve"> 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精馏残渣HW11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261-029-11</w:t>
            </w:r>
          </w:p>
        </w:tc>
        <w:tc>
          <w:tcPr>
            <w:tcW w:w="1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50.007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111.867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淮安华科环保科技有限公司</w:t>
            </w: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3.334</w:t>
            </w:r>
          </w:p>
        </w:tc>
        <w:tc>
          <w:tcPr>
            <w:tcW w:w="183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各类危废已明确处置途经，持续转移中。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627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精馏残渣HW11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900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-0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-11</w:t>
            </w:r>
          </w:p>
        </w:tc>
        <w:tc>
          <w:tcPr>
            <w:tcW w:w="1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  <w:t>112.091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  <w:t>145.44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淮安华科环保科技有限公司</w:t>
            </w: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  <w:t>11.451</w:t>
            </w:r>
          </w:p>
        </w:tc>
        <w:tc>
          <w:tcPr>
            <w:tcW w:w="1833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627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废活性炭HW49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900-039-49</w:t>
            </w:r>
          </w:p>
        </w:tc>
        <w:tc>
          <w:tcPr>
            <w:tcW w:w="1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1.116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1.116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淮安华科环保科技有限公司</w:t>
            </w: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33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627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废包装物HW49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900-041-49</w:t>
            </w:r>
          </w:p>
        </w:tc>
        <w:tc>
          <w:tcPr>
            <w:tcW w:w="1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3.291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4.468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淮安华科环保科技有限公司</w:t>
            </w: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0.552</w:t>
            </w:r>
          </w:p>
        </w:tc>
        <w:tc>
          <w:tcPr>
            <w:tcW w:w="1833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627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水处理污泥HW45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261-084-45</w:t>
            </w:r>
          </w:p>
        </w:tc>
        <w:tc>
          <w:tcPr>
            <w:tcW w:w="1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32.91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53.252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淮安华科环保科技有限公司</w:t>
            </w: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7.115</w:t>
            </w:r>
          </w:p>
        </w:tc>
        <w:tc>
          <w:tcPr>
            <w:tcW w:w="1833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627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废矿物油HW08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900-249-08</w:t>
            </w:r>
          </w:p>
        </w:tc>
        <w:tc>
          <w:tcPr>
            <w:tcW w:w="1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17.711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17.711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江苏森茂能源发展有限公司</w:t>
            </w: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33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550" w:right="720" w:bottom="55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04AA1"/>
    <w:multiLevelType w:val="singleLevel"/>
    <w:tmpl w:val="8CF04A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44A78"/>
    <w:rsid w:val="00B65A80"/>
    <w:rsid w:val="061C2D86"/>
    <w:rsid w:val="0D5378DA"/>
    <w:rsid w:val="2E344A78"/>
    <w:rsid w:val="34AC5E68"/>
    <w:rsid w:val="376C0CB5"/>
    <w:rsid w:val="44617AA3"/>
    <w:rsid w:val="49F376DB"/>
    <w:rsid w:val="55161456"/>
    <w:rsid w:val="60445EF3"/>
    <w:rsid w:val="6DAD1ABF"/>
    <w:rsid w:val="6DDE7C38"/>
    <w:rsid w:val="73153F5E"/>
    <w:rsid w:val="797F203B"/>
    <w:rsid w:val="7F87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2018-06-05T06:44:00Z</dcterms:created>
  <dc:creator>ldz</dc:creator>
  <cp:lastModifiedBy>秦风</cp:lastModifiedBy>
  <cp:lastPrinted>2020-10-08T08:08:00Z</cp:lastPrinted>
  <dcterms:modified xsi:type="dcterms:W3CDTF">2021-11-15T06:44:39Z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